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D6" w:rsidRDefault="00497C87" w:rsidP="00497C87">
      <w:pPr>
        <w:rPr>
          <w:rFonts w:ascii="Bookman Old Style" w:hAnsi="Bookman Old Style"/>
          <w:b/>
          <w:sz w:val="24"/>
          <w:szCs w:val="24"/>
        </w:rPr>
      </w:pPr>
      <w:r w:rsidRPr="00497C87">
        <w:rPr>
          <w:rFonts w:ascii="Bookman Old Style" w:hAnsi="Bookman Old Style"/>
          <w:b/>
          <w:sz w:val="24"/>
          <w:szCs w:val="24"/>
        </w:rPr>
        <w:t>Punime që kryhen me deklaratë paraprake punimesh</w:t>
      </w:r>
    </w:p>
    <w:p w:rsidR="00497C87" w:rsidRPr="004B07D7" w:rsidRDefault="00497C87" w:rsidP="00497C87">
      <w:pPr>
        <w:numPr>
          <w:ilvl w:val="0"/>
          <w:numId w:val="1"/>
        </w:numPr>
        <w:tabs>
          <w:tab w:val="left" w:pos="257"/>
        </w:tabs>
        <w:spacing w:after="0" w:line="239" w:lineRule="auto"/>
        <w:jc w:val="both"/>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Pa përjashtuar detyrimin e respektimit të dispozitave ligjore të parashikuara nga kuadri ligjor në fuqi për veprimtaritë ndërtimore, përfshirë, në mënyrë të veçantë, sa i përket qëndrueshmërisë, mbrojtjes nga zjarri, ruajtjes së sigurisë dhe higjienës shëndetësore, kryhen pa pajisjen me leje ndërtimi, pas njoftimit të deklaratës paraprake të fillimit të punimeve pranë autoritetit kompetent të planifikimit dhe zhvillimit, të gjitha punimet me anë të të cilave bëhet ndryshimi i organizimit të hapësirës në objekt, zëvendësimi i aparaturave dhe pajisjeve ekzistuese, si dhe ndryshimet, të cilat nuk ndikojnë në qëndrueshmërinë dhe sigurinë e objektit e nuk ndryshojnë elementet konstruktive mbajtëse, përfshirë:</w:t>
      </w:r>
    </w:p>
    <w:p w:rsidR="00497C87" w:rsidRPr="004B07D7" w:rsidRDefault="00497C87" w:rsidP="00497C87">
      <w:pPr>
        <w:spacing w:line="199" w:lineRule="exact"/>
        <w:rPr>
          <w:rFonts w:ascii="Times New Roman" w:eastAsia="Times New Roman" w:hAnsi="Times New Roman"/>
          <w:color w:val="000000" w:themeColor="text1"/>
          <w:sz w:val="24"/>
        </w:rPr>
      </w:pPr>
    </w:p>
    <w:p w:rsidR="00497C87" w:rsidRPr="004B07D7" w:rsidRDefault="00497C87" w:rsidP="00497C87">
      <w:pPr>
        <w:numPr>
          <w:ilvl w:val="1"/>
          <w:numId w:val="1"/>
        </w:numPr>
        <w:tabs>
          <w:tab w:val="left" w:pos="340"/>
        </w:tabs>
        <w:spacing w:after="0" w:line="0" w:lineRule="atLeast"/>
        <w:ind w:left="340" w:hanging="280"/>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Punime të jashtme:</w:t>
      </w:r>
    </w:p>
    <w:p w:rsidR="00497C87" w:rsidRPr="004B07D7" w:rsidRDefault="00497C87" w:rsidP="00497C87">
      <w:pPr>
        <w:spacing w:line="230" w:lineRule="exact"/>
        <w:rPr>
          <w:rFonts w:ascii="Times New Roman" w:eastAsia="Times New Roman" w:hAnsi="Times New Roman"/>
          <w:color w:val="000000" w:themeColor="text1"/>
          <w:sz w:val="24"/>
        </w:rPr>
      </w:pPr>
    </w:p>
    <w:p w:rsidR="00497C87" w:rsidRPr="00187B45" w:rsidRDefault="00497C87" w:rsidP="00187B45">
      <w:pPr>
        <w:numPr>
          <w:ilvl w:val="2"/>
          <w:numId w:val="1"/>
        </w:numPr>
        <w:tabs>
          <w:tab w:val="left" w:pos="720"/>
        </w:tabs>
        <w:spacing w:after="0" w:line="227" w:lineRule="auto"/>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ndërhyrjet e mirëmbajtjes së zakonshme kur sjellin ndryshime të karakteristikave, formave dhe ngjyrave ekzistuese;</w:t>
      </w:r>
    </w:p>
    <w:p w:rsidR="00497C87" w:rsidRPr="004B07D7" w:rsidRDefault="00497C87" w:rsidP="00497C87">
      <w:pPr>
        <w:numPr>
          <w:ilvl w:val="2"/>
          <w:numId w:val="1"/>
        </w:numPr>
        <w:tabs>
          <w:tab w:val="left" w:pos="720"/>
        </w:tabs>
        <w:spacing w:after="0" w:line="0" w:lineRule="atLeast"/>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vendosja e shtresave për rritjen e efiçiencës energjitike të ndërtesave ekzistuese.</w:t>
      </w:r>
    </w:p>
    <w:p w:rsidR="00497C87" w:rsidRPr="004B07D7" w:rsidRDefault="00497C87" w:rsidP="00497C87">
      <w:pPr>
        <w:spacing w:line="199" w:lineRule="exact"/>
        <w:rPr>
          <w:rFonts w:ascii="Symbol" w:eastAsia="Symbol" w:hAnsi="Symbol"/>
          <w:color w:val="000000" w:themeColor="text1"/>
          <w:sz w:val="24"/>
        </w:rPr>
      </w:pPr>
    </w:p>
    <w:p w:rsidR="00497C87" w:rsidRPr="004B07D7" w:rsidRDefault="00497C87" w:rsidP="00497C87">
      <w:pPr>
        <w:numPr>
          <w:ilvl w:val="1"/>
          <w:numId w:val="1"/>
        </w:numPr>
        <w:tabs>
          <w:tab w:val="left" w:pos="360"/>
        </w:tabs>
        <w:spacing w:after="0" w:line="0" w:lineRule="atLeast"/>
        <w:ind w:left="360" w:hanging="360"/>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Punime të brendshme, si:</w:t>
      </w:r>
    </w:p>
    <w:p w:rsidR="00497C87" w:rsidRPr="004B07D7" w:rsidRDefault="00497C87" w:rsidP="00497C87">
      <w:pPr>
        <w:spacing w:line="200" w:lineRule="exact"/>
        <w:rPr>
          <w:rFonts w:ascii="Times New Roman" w:eastAsia="Times New Roman" w:hAnsi="Times New Roman"/>
          <w:color w:val="000000" w:themeColor="text1"/>
          <w:sz w:val="24"/>
        </w:rPr>
      </w:pPr>
    </w:p>
    <w:p w:rsidR="00497C87" w:rsidRPr="004B07D7" w:rsidRDefault="00497C87" w:rsidP="00497C87">
      <w:pPr>
        <w:numPr>
          <w:ilvl w:val="2"/>
          <w:numId w:val="1"/>
        </w:numPr>
        <w:tabs>
          <w:tab w:val="left" w:pos="720"/>
        </w:tabs>
        <w:spacing w:after="0" w:line="0" w:lineRule="atLeast"/>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përforcimi i strukturave mbajtëse të brendshme;</w:t>
      </w:r>
    </w:p>
    <w:p w:rsidR="00497C87" w:rsidRPr="004B07D7" w:rsidRDefault="00497C87" w:rsidP="00497C87">
      <w:pPr>
        <w:tabs>
          <w:tab w:val="left" w:pos="720"/>
        </w:tabs>
        <w:spacing w:line="0" w:lineRule="atLeast"/>
        <w:rPr>
          <w:rFonts w:ascii="Symbol" w:eastAsia="Symbol" w:hAnsi="Symbol"/>
          <w:color w:val="000000" w:themeColor="text1"/>
          <w:sz w:val="24"/>
        </w:rPr>
      </w:pPr>
    </w:p>
    <w:p w:rsidR="00497C87" w:rsidRPr="004B07D7" w:rsidRDefault="00497C87" w:rsidP="00497C87">
      <w:pPr>
        <w:numPr>
          <w:ilvl w:val="1"/>
          <w:numId w:val="2"/>
        </w:numPr>
        <w:tabs>
          <w:tab w:val="left" w:pos="720"/>
        </w:tabs>
        <w:spacing w:after="0" w:line="0" w:lineRule="atLeast"/>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hapja dhe mbyllja e dyerve të brendshme;</w:t>
      </w:r>
    </w:p>
    <w:p w:rsidR="00497C87" w:rsidRPr="004B07D7" w:rsidRDefault="00497C87" w:rsidP="00187B45">
      <w:pPr>
        <w:tabs>
          <w:tab w:val="left" w:pos="1815"/>
        </w:tabs>
        <w:spacing w:line="231" w:lineRule="exact"/>
        <w:rPr>
          <w:rFonts w:ascii="Symbol" w:eastAsia="Symbol" w:hAnsi="Symbol"/>
          <w:color w:val="000000" w:themeColor="text1"/>
          <w:sz w:val="24"/>
        </w:rPr>
      </w:pPr>
    </w:p>
    <w:p w:rsidR="00497C87" w:rsidRPr="004B07D7" w:rsidRDefault="00497C87" w:rsidP="00497C87">
      <w:pPr>
        <w:numPr>
          <w:ilvl w:val="1"/>
          <w:numId w:val="2"/>
        </w:numPr>
        <w:tabs>
          <w:tab w:val="left" w:pos="720"/>
        </w:tabs>
        <w:spacing w:after="0" w:line="227" w:lineRule="auto"/>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krijimi, eliminimi ose ndryshimi i mureve ndarës (jombajtës) të brendshëm, i mjediseve për shërbime higjienike;</w:t>
      </w:r>
    </w:p>
    <w:p w:rsidR="00497C87" w:rsidRPr="004B07D7" w:rsidRDefault="00497C87" w:rsidP="00497C87">
      <w:pPr>
        <w:spacing w:line="198" w:lineRule="exact"/>
        <w:rPr>
          <w:rFonts w:ascii="Symbol" w:eastAsia="Symbol" w:hAnsi="Symbol"/>
          <w:color w:val="000000" w:themeColor="text1"/>
          <w:sz w:val="24"/>
        </w:rPr>
      </w:pPr>
    </w:p>
    <w:p w:rsidR="00497C87" w:rsidRPr="004B07D7" w:rsidRDefault="00497C87" w:rsidP="00497C87">
      <w:pPr>
        <w:numPr>
          <w:ilvl w:val="1"/>
          <w:numId w:val="2"/>
        </w:numPr>
        <w:tabs>
          <w:tab w:val="left" w:pos="720"/>
        </w:tabs>
        <w:spacing w:after="0" w:line="0" w:lineRule="atLeast"/>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realizimi i impianteve të reja higjieno-sanitare dhe të ngrohjes/ftohjes;</w:t>
      </w:r>
    </w:p>
    <w:p w:rsidR="00497C87" w:rsidRPr="004B07D7" w:rsidRDefault="00497C87" w:rsidP="00497C87">
      <w:pPr>
        <w:tabs>
          <w:tab w:val="left" w:pos="720"/>
        </w:tabs>
        <w:spacing w:line="0" w:lineRule="atLeast"/>
        <w:rPr>
          <w:rFonts w:ascii="Symbol" w:eastAsia="Symbol" w:hAnsi="Symbol"/>
          <w:color w:val="000000" w:themeColor="text1"/>
          <w:sz w:val="24"/>
        </w:rPr>
      </w:pPr>
    </w:p>
    <w:p w:rsidR="00497C87" w:rsidRPr="004B07D7" w:rsidRDefault="00497C87" w:rsidP="00497C87">
      <w:pPr>
        <w:numPr>
          <w:ilvl w:val="0"/>
          <w:numId w:val="2"/>
        </w:numPr>
        <w:tabs>
          <w:tab w:val="left" w:pos="420"/>
        </w:tabs>
        <w:spacing w:after="0" w:line="0" w:lineRule="atLeast"/>
        <w:ind w:left="420" w:hanging="420"/>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Punime të tjera, si:</w:t>
      </w:r>
    </w:p>
    <w:p w:rsidR="00497C87" w:rsidRPr="004B07D7" w:rsidRDefault="00497C87" w:rsidP="00497C87">
      <w:pPr>
        <w:spacing w:line="228" w:lineRule="exact"/>
        <w:rPr>
          <w:rFonts w:ascii="Times New Roman" w:eastAsia="Times New Roman" w:hAnsi="Times New Roman"/>
          <w:color w:val="000000" w:themeColor="text1"/>
          <w:sz w:val="24"/>
        </w:rPr>
      </w:pPr>
    </w:p>
    <w:p w:rsidR="00497C87" w:rsidRPr="004B07D7" w:rsidRDefault="00497C87" w:rsidP="00497C87">
      <w:pPr>
        <w:numPr>
          <w:ilvl w:val="1"/>
          <w:numId w:val="2"/>
        </w:numPr>
        <w:tabs>
          <w:tab w:val="left" w:pos="720"/>
        </w:tabs>
        <w:spacing w:after="0" w:line="227" w:lineRule="auto"/>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punimet për ndërtimin e rampave për përshtatjen e ndërtesave për personat me aftësi të kufizuara;</w:t>
      </w:r>
    </w:p>
    <w:p w:rsidR="00497C87" w:rsidRPr="004B07D7" w:rsidRDefault="00497C87" w:rsidP="00497C87">
      <w:pPr>
        <w:spacing w:line="231" w:lineRule="exact"/>
        <w:rPr>
          <w:rFonts w:ascii="Symbol" w:eastAsia="Symbol" w:hAnsi="Symbol"/>
          <w:color w:val="000000" w:themeColor="text1"/>
          <w:sz w:val="24"/>
        </w:rPr>
      </w:pPr>
    </w:p>
    <w:p w:rsidR="00497C87" w:rsidRPr="004B07D7" w:rsidRDefault="00497C87" w:rsidP="00497C87">
      <w:pPr>
        <w:numPr>
          <w:ilvl w:val="1"/>
          <w:numId w:val="2"/>
        </w:numPr>
        <w:tabs>
          <w:tab w:val="left" w:pos="720"/>
        </w:tabs>
        <w:spacing w:after="0" w:line="231" w:lineRule="auto"/>
        <w:ind w:left="720" w:hanging="360"/>
        <w:jc w:val="both"/>
        <w:rPr>
          <w:rFonts w:ascii="Symbol" w:eastAsia="Symbol" w:hAnsi="Symbol"/>
          <w:color w:val="000000" w:themeColor="text1"/>
          <w:sz w:val="24"/>
        </w:rPr>
        <w:sectPr w:rsidR="00497C87" w:rsidRPr="004B07D7">
          <w:pgSz w:w="12240" w:h="15840"/>
          <w:pgMar w:top="1071" w:right="1440" w:bottom="190" w:left="1440" w:header="0" w:footer="0" w:gutter="0"/>
          <w:cols w:space="0" w:equalWidth="0">
            <w:col w:w="9360"/>
          </w:cols>
          <w:docGrid w:linePitch="360"/>
        </w:sectPr>
      </w:pPr>
      <w:r w:rsidRPr="004B07D7">
        <w:rPr>
          <w:rFonts w:ascii="Times New Roman" w:eastAsia="Times New Roman" w:hAnsi="Times New Roman"/>
          <w:color w:val="000000" w:themeColor="text1"/>
          <w:sz w:val="24"/>
        </w:rPr>
        <w:t>struktura që instalohen për nevoja të çastit dhe të përkohshme, pa themele, me materiale të çmontueshme, pa përdorur struktura beton-armeje, blloqe b</w:t>
      </w:r>
      <w:r w:rsidR="00187B45">
        <w:rPr>
          <w:rFonts w:ascii="Times New Roman" w:eastAsia="Times New Roman" w:hAnsi="Times New Roman"/>
          <w:color w:val="000000" w:themeColor="text1"/>
          <w:sz w:val="24"/>
        </w:rPr>
        <w:t xml:space="preserve">etoni, murature e soleta dhe që </w:t>
      </w:r>
      <w:r w:rsidRPr="004B07D7">
        <w:rPr>
          <w:rFonts w:ascii="Times New Roman" w:eastAsia="Times New Roman" w:hAnsi="Times New Roman"/>
          <w:color w:val="000000" w:themeColor="text1"/>
          <w:sz w:val="24"/>
        </w:rPr>
        <w:t>hiqen në çdo rast, brenda një afati kohor maksimal 6-mujor;</w:t>
      </w:r>
      <w:r w:rsidR="00C15B72">
        <w:rPr>
          <w:rFonts w:ascii="Symbol" w:eastAsia="Symbol" w:hAnsi="Symbol"/>
          <w:color w:val="000000" w:themeColor="text1"/>
          <w:sz w:val="24"/>
        </w:rPr>
        <w:pict>
          <v:line id="_x0000_s1027" style="position:absolute;left:0;text-align:left;z-index:-251658752;mso-position-horizontal-relative:text;mso-position-vertical-relative:text" from="18pt,-174.95pt" to="36pt,-174.95pt" o:userdrawn="t" strokecolor="#00b0f0" strokeweight=".6pt"/>
        </w:pict>
      </w:r>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numPr>
          <w:ilvl w:val="0"/>
          <w:numId w:val="3"/>
        </w:numPr>
        <w:tabs>
          <w:tab w:val="left" w:pos="720"/>
        </w:tabs>
        <w:spacing w:after="0" w:line="231" w:lineRule="auto"/>
        <w:ind w:left="720" w:hanging="360"/>
        <w:jc w:val="both"/>
        <w:rPr>
          <w:rFonts w:ascii="Symbol" w:eastAsia="Symbol" w:hAnsi="Symbol"/>
          <w:color w:val="000000" w:themeColor="text1"/>
          <w:sz w:val="24"/>
        </w:rPr>
      </w:pPr>
      <w:bookmarkStart w:id="0" w:name="page11"/>
      <w:bookmarkEnd w:id="0"/>
      <w:r w:rsidRPr="004B07D7">
        <w:rPr>
          <w:rFonts w:ascii="Times New Roman" w:eastAsia="Times New Roman" w:hAnsi="Times New Roman"/>
          <w:color w:val="000000" w:themeColor="text1"/>
          <w:sz w:val="24"/>
        </w:rPr>
        <w:t>vendosja e paneleve diellore, fotovoltaike, në shërbim të ndërtesave, në përputhje me rregulloren arkitektonike të qytetit dhe kufizimet që mund të rrjedhin nga legjislacioni për mbrojtjen e trashëgimisë kulturore, historike apo mjedisore;</w:t>
      </w:r>
    </w:p>
    <w:p w:rsidR="00497C87" w:rsidRPr="004B07D7" w:rsidRDefault="00497C87" w:rsidP="00497C87">
      <w:pPr>
        <w:spacing w:line="230" w:lineRule="exact"/>
        <w:rPr>
          <w:rFonts w:ascii="Symbol" w:eastAsia="Symbol" w:hAnsi="Symbol"/>
          <w:color w:val="000000" w:themeColor="text1"/>
          <w:sz w:val="24"/>
        </w:rPr>
      </w:pPr>
    </w:p>
    <w:p w:rsidR="00497C87" w:rsidRPr="004B07D7" w:rsidRDefault="00497C87" w:rsidP="00497C87">
      <w:pPr>
        <w:numPr>
          <w:ilvl w:val="0"/>
          <w:numId w:val="3"/>
        </w:numPr>
        <w:tabs>
          <w:tab w:val="left" w:pos="780"/>
        </w:tabs>
        <w:spacing w:after="0" w:line="232" w:lineRule="auto"/>
        <w:ind w:left="720" w:hanging="360"/>
        <w:jc w:val="both"/>
        <w:rPr>
          <w:rFonts w:ascii="Symbol" w:eastAsia="Symbol" w:hAnsi="Symbol"/>
          <w:color w:val="000000" w:themeColor="text1"/>
          <w:sz w:val="24"/>
        </w:rPr>
      </w:pPr>
      <w:r w:rsidRPr="004B07D7">
        <w:rPr>
          <w:rFonts w:ascii="Times New Roman" w:eastAsia="Times New Roman" w:hAnsi="Times New Roman"/>
          <w:color w:val="000000" w:themeColor="text1"/>
          <w:sz w:val="24"/>
        </w:rPr>
        <w:t>punime riparimi, zëvendësimi dhe mirëmbajtjeje të rrjeteve të infrastrukturës publike dhe komunikimeve elektronike, që nuk prekin sistemin konstruktiv të tyre, nuk ndryshojnë përdorimin dhe përmasat e infrastrukturës, si dhe kushtet e zhvillimit në zonën përreth;</w:t>
      </w:r>
    </w:p>
    <w:p w:rsidR="00497C87" w:rsidRPr="004B07D7" w:rsidRDefault="00497C87" w:rsidP="00497C87">
      <w:pPr>
        <w:spacing w:line="228" w:lineRule="exact"/>
        <w:rPr>
          <w:rFonts w:ascii="Symbol" w:eastAsia="Symbol" w:hAnsi="Symbol"/>
          <w:color w:val="000000" w:themeColor="text1"/>
          <w:sz w:val="24"/>
        </w:rPr>
      </w:pPr>
    </w:p>
    <w:p w:rsidR="00497C87" w:rsidRPr="004B07D7" w:rsidRDefault="00497C87" w:rsidP="00497C87">
      <w:pPr>
        <w:numPr>
          <w:ilvl w:val="0"/>
          <w:numId w:val="3"/>
        </w:numPr>
        <w:tabs>
          <w:tab w:val="left" w:pos="720"/>
        </w:tabs>
        <w:spacing w:after="0" w:line="227" w:lineRule="auto"/>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punime riparimi, mirëmbajtjeje dhe rehabilitimi të infrastrukturës së ujitjes, kullimit dhe mbrojtjes nga përmbytja;</w:t>
      </w:r>
    </w:p>
    <w:p w:rsidR="00497C87" w:rsidRPr="004B07D7" w:rsidRDefault="00497C87" w:rsidP="00497C87">
      <w:pPr>
        <w:spacing w:line="228" w:lineRule="exact"/>
        <w:rPr>
          <w:rFonts w:ascii="Symbol" w:eastAsia="Symbol" w:hAnsi="Symbol"/>
          <w:color w:val="000000" w:themeColor="text1"/>
          <w:sz w:val="24"/>
        </w:rPr>
      </w:pPr>
    </w:p>
    <w:p w:rsidR="00497C87" w:rsidRPr="004B07D7" w:rsidRDefault="00497C87" w:rsidP="00497C87">
      <w:pPr>
        <w:numPr>
          <w:ilvl w:val="0"/>
          <w:numId w:val="3"/>
        </w:numPr>
        <w:tabs>
          <w:tab w:val="left" w:pos="720"/>
        </w:tabs>
        <w:spacing w:after="0" w:line="228" w:lineRule="auto"/>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vendosja e tendave të diellit dhe pergolateve, në përputhje me ligjin që rregullon bashkë-pronësinë në ndërtesat e banimit dhe rregulloren arkitektonike të qytetit;</w:t>
      </w:r>
    </w:p>
    <w:p w:rsidR="00497C87" w:rsidRPr="004B07D7" w:rsidRDefault="00497C87" w:rsidP="00497C87">
      <w:pPr>
        <w:spacing w:line="229" w:lineRule="exact"/>
        <w:rPr>
          <w:rFonts w:ascii="Symbol" w:eastAsia="Symbol" w:hAnsi="Symbol"/>
          <w:color w:val="000000" w:themeColor="text1"/>
          <w:sz w:val="24"/>
        </w:rPr>
      </w:pPr>
    </w:p>
    <w:p w:rsidR="00497C87" w:rsidRPr="004B07D7" w:rsidRDefault="00497C87" w:rsidP="00497C87">
      <w:pPr>
        <w:numPr>
          <w:ilvl w:val="0"/>
          <w:numId w:val="3"/>
        </w:numPr>
        <w:tabs>
          <w:tab w:val="left" w:pos="720"/>
        </w:tabs>
        <w:spacing w:after="0" w:line="231" w:lineRule="auto"/>
        <w:ind w:left="720" w:hanging="360"/>
        <w:jc w:val="both"/>
        <w:rPr>
          <w:rFonts w:ascii="Symbol" w:eastAsia="Symbol" w:hAnsi="Symbol"/>
          <w:color w:val="000000" w:themeColor="text1"/>
          <w:sz w:val="24"/>
        </w:rPr>
      </w:pPr>
      <w:r w:rsidRPr="004B07D7">
        <w:rPr>
          <w:rFonts w:ascii="Times New Roman" w:eastAsia="Times New Roman" w:hAnsi="Times New Roman"/>
          <w:color w:val="000000" w:themeColor="text1"/>
          <w:sz w:val="24"/>
        </w:rPr>
        <w:t>ndërhyrjet me qëllim ruajtjen apo rritjen e eficiencës energjetike dhe akustike në një strukturë ekzistuese, që nuk prekin sistemin konstruktiv të ndërtesës (p.sh.: ndërhyrje në themele, mure mbajtëse, tra-kolonë etj.)</w:t>
      </w:r>
    </w:p>
    <w:p w:rsidR="00497C87" w:rsidRPr="004B07D7" w:rsidRDefault="00497C87" w:rsidP="00497C87">
      <w:pPr>
        <w:spacing w:line="229" w:lineRule="exact"/>
        <w:rPr>
          <w:rFonts w:ascii="Symbol" w:eastAsia="Symbol" w:hAnsi="Symbol"/>
          <w:color w:val="000000" w:themeColor="text1"/>
          <w:sz w:val="24"/>
        </w:rPr>
      </w:pPr>
    </w:p>
    <w:p w:rsidR="00497C87" w:rsidRPr="004B07D7" w:rsidRDefault="00497C87" w:rsidP="00497C87">
      <w:pPr>
        <w:numPr>
          <w:ilvl w:val="0"/>
          <w:numId w:val="3"/>
        </w:numPr>
        <w:tabs>
          <w:tab w:val="left" w:pos="720"/>
        </w:tabs>
        <w:spacing w:after="0" w:line="228" w:lineRule="auto"/>
        <w:ind w:left="720" w:hanging="360"/>
        <w:rPr>
          <w:rFonts w:ascii="Symbol" w:eastAsia="Symbol" w:hAnsi="Symbol"/>
          <w:color w:val="000000" w:themeColor="text1"/>
          <w:sz w:val="24"/>
        </w:rPr>
      </w:pPr>
      <w:r w:rsidRPr="004B07D7">
        <w:rPr>
          <w:rFonts w:ascii="Times New Roman" w:eastAsia="Times New Roman" w:hAnsi="Times New Roman"/>
          <w:color w:val="000000" w:themeColor="text1"/>
          <w:sz w:val="24"/>
        </w:rPr>
        <w:t>serra të çmontueshme, pa themele të vazhduara, në shërbim të aktiviteteve bujqësore; - vendosja e ashensorëve;</w:t>
      </w:r>
    </w:p>
    <w:p w:rsidR="00497C87" w:rsidRPr="004B07D7" w:rsidRDefault="00497C87" w:rsidP="00497C87">
      <w:pPr>
        <w:spacing w:line="228" w:lineRule="exact"/>
        <w:rPr>
          <w:rFonts w:ascii="Symbol" w:eastAsia="Symbol" w:hAnsi="Symbol"/>
          <w:color w:val="000000" w:themeColor="text1"/>
          <w:sz w:val="24"/>
        </w:rPr>
      </w:pPr>
    </w:p>
    <w:p w:rsidR="00497C87" w:rsidRPr="004B07D7" w:rsidRDefault="00497C87" w:rsidP="00497C87">
      <w:pPr>
        <w:numPr>
          <w:ilvl w:val="0"/>
          <w:numId w:val="3"/>
        </w:numPr>
        <w:tabs>
          <w:tab w:val="left" w:pos="720"/>
        </w:tabs>
        <w:spacing w:after="0" w:line="234" w:lineRule="auto"/>
        <w:ind w:left="720" w:hanging="360"/>
        <w:jc w:val="both"/>
        <w:rPr>
          <w:rFonts w:ascii="Symbol" w:eastAsia="Symbol" w:hAnsi="Symbol"/>
          <w:color w:val="000000" w:themeColor="text1"/>
          <w:sz w:val="24"/>
        </w:rPr>
      </w:pPr>
      <w:r w:rsidRPr="004B07D7">
        <w:rPr>
          <w:rFonts w:ascii="Times New Roman" w:eastAsia="Times New Roman" w:hAnsi="Times New Roman"/>
          <w:color w:val="000000" w:themeColor="text1"/>
          <w:sz w:val="24"/>
        </w:rPr>
        <w:t>vendosja e reklamave në fasadat e jashtme, për qëllime të promovimit të aktivitetit ekonomik privat. Vendosja e tyre rregullohet sipas rregullores specifike të secilit autoritet vendor të planifikimit, me përjashtim të vendosjes së reklamave jashtë territoreve urbane, ku përfshihen, por pa u kufizuar, rrugë interurbane, hekurudha, mjedise aeroportuale, pika doganore, të cilat rregullohen me akte të ministrive përgjegjëse.</w:t>
      </w:r>
    </w:p>
    <w:p w:rsidR="00497C87" w:rsidRPr="004B07D7" w:rsidRDefault="00497C87" w:rsidP="00497C87">
      <w:pPr>
        <w:pStyle w:val="ListParagraph"/>
        <w:rPr>
          <w:rFonts w:ascii="Symbol" w:eastAsia="Symbol" w:hAnsi="Symbol"/>
          <w:color w:val="000000" w:themeColor="text1"/>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p>
    <w:p w:rsidR="00497C87" w:rsidRDefault="00497C87" w:rsidP="00497C87">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Neni 8</w:t>
      </w:r>
    </w:p>
    <w:p w:rsidR="00497C87" w:rsidRDefault="00497C87" w:rsidP="00497C87">
      <w:pPr>
        <w:spacing w:line="240" w:lineRule="exact"/>
        <w:rPr>
          <w:rFonts w:ascii="Times New Roman" w:eastAsia="Times New Roman" w:hAnsi="Times New Roman"/>
        </w:rPr>
      </w:pPr>
    </w:p>
    <w:p w:rsidR="00497C87" w:rsidRDefault="00497C87" w:rsidP="00497C87">
      <w:pPr>
        <w:spacing w:line="0" w:lineRule="atLeast"/>
        <w:jc w:val="center"/>
        <w:rPr>
          <w:rFonts w:ascii="Times New Roman" w:eastAsia="Times New Roman" w:hAnsi="Times New Roman"/>
          <w:b/>
          <w:sz w:val="24"/>
        </w:rPr>
      </w:pPr>
      <w:r>
        <w:rPr>
          <w:rFonts w:ascii="Times New Roman" w:eastAsia="Times New Roman" w:hAnsi="Times New Roman"/>
          <w:b/>
          <w:sz w:val="24"/>
        </w:rPr>
        <w:t>Dokumentacioni për punime me deklaratë paraprake</w:t>
      </w:r>
    </w:p>
    <w:p w:rsidR="00497C87" w:rsidRDefault="00497C87" w:rsidP="00497C87">
      <w:pPr>
        <w:spacing w:line="343" w:lineRule="exact"/>
        <w:rPr>
          <w:rFonts w:ascii="Times New Roman" w:eastAsia="Times New Roman" w:hAnsi="Times New Roman"/>
        </w:rPr>
      </w:pPr>
    </w:p>
    <w:p w:rsidR="00497C87" w:rsidRPr="004B07D7" w:rsidRDefault="00497C87" w:rsidP="00497C87">
      <w:pPr>
        <w:numPr>
          <w:ilvl w:val="0"/>
          <w:numId w:val="4"/>
        </w:numPr>
        <w:tabs>
          <w:tab w:val="left" w:pos="266"/>
        </w:tabs>
        <w:spacing w:after="0" w:line="235" w:lineRule="auto"/>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Dokumentet që duhet të depozitojë personi i interesuar për njoftimin e deklaratës paraprake për kryerje punimesh, janë:</w:t>
      </w:r>
    </w:p>
    <w:p w:rsidR="00497C87" w:rsidRPr="004B07D7" w:rsidRDefault="00497C87" w:rsidP="00497C87">
      <w:pPr>
        <w:spacing w:line="214" w:lineRule="exact"/>
        <w:rPr>
          <w:rFonts w:ascii="Times New Roman" w:eastAsia="Times New Roman" w:hAnsi="Times New Roman"/>
          <w:color w:val="000000" w:themeColor="text1"/>
        </w:rPr>
      </w:pPr>
    </w:p>
    <w:p w:rsidR="00497C87" w:rsidRPr="004B07D7" w:rsidRDefault="00497C87" w:rsidP="00497C87">
      <w:pPr>
        <w:numPr>
          <w:ilvl w:val="0"/>
          <w:numId w:val="5"/>
        </w:numPr>
        <w:tabs>
          <w:tab w:val="left" w:pos="326"/>
        </w:tabs>
        <w:spacing w:after="0" w:line="235" w:lineRule="auto"/>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Formulari i deklaratës, sipas kësaj rregulloreje dhe formatit të përcaktuar në sistemin elektronik të lejeve, dhe, sipas rastit:</w:t>
      </w:r>
    </w:p>
    <w:p w:rsidR="00497C87" w:rsidRPr="004B07D7" w:rsidRDefault="00497C87" w:rsidP="00497C87">
      <w:pPr>
        <w:spacing w:line="210" w:lineRule="exact"/>
        <w:rPr>
          <w:rFonts w:ascii="Times New Roman" w:eastAsia="Times New Roman" w:hAnsi="Times New Roman"/>
          <w:color w:val="000000" w:themeColor="text1"/>
          <w:sz w:val="24"/>
        </w:rPr>
      </w:pPr>
    </w:p>
    <w:p w:rsidR="00497C87" w:rsidRPr="004B07D7" w:rsidRDefault="00497C87" w:rsidP="004B07D7">
      <w:pPr>
        <w:numPr>
          <w:ilvl w:val="0"/>
          <w:numId w:val="5"/>
        </w:numPr>
        <w:tabs>
          <w:tab w:val="left" w:pos="283"/>
        </w:tabs>
        <w:spacing w:after="0" w:line="237" w:lineRule="auto"/>
        <w:jc w:val="both"/>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Dokumenti që vërteton pronësinë apo të drejtat e ligjshme të deklaruesit mbi pasurinë në të cilën kryhen punimet, në përputhje me legjislacionin në fuqi, përfshirë kontratë sipërmarrjeje/ porosie, leje legalizimi e të ngjashme;</w:t>
      </w:r>
    </w:p>
    <w:p w:rsidR="00497C87" w:rsidRPr="004B07D7" w:rsidRDefault="00497C87" w:rsidP="00497C87">
      <w:pPr>
        <w:spacing w:line="199" w:lineRule="exact"/>
        <w:rPr>
          <w:rFonts w:ascii="Times New Roman" w:eastAsia="Times New Roman" w:hAnsi="Times New Roman"/>
          <w:color w:val="000000" w:themeColor="text1"/>
          <w:sz w:val="24"/>
        </w:rPr>
      </w:pPr>
    </w:p>
    <w:p w:rsidR="00497C87" w:rsidRPr="004B07D7" w:rsidRDefault="00497C87" w:rsidP="00497C87">
      <w:pPr>
        <w:numPr>
          <w:ilvl w:val="0"/>
          <w:numId w:val="5"/>
        </w:numPr>
        <w:tabs>
          <w:tab w:val="left" w:pos="240"/>
        </w:tabs>
        <w:spacing w:after="0" w:line="0" w:lineRule="atLeast"/>
        <w:ind w:left="240" w:hanging="240"/>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Projekti teknik i realizimit të punimeve, i firmosur nga projektues të licencuar.</w:t>
      </w:r>
    </w:p>
    <w:p w:rsidR="00497C87" w:rsidRPr="004B07D7" w:rsidRDefault="00497C87" w:rsidP="00497C87">
      <w:pPr>
        <w:spacing w:line="211" w:lineRule="exact"/>
        <w:rPr>
          <w:rFonts w:ascii="Times New Roman" w:eastAsia="Times New Roman" w:hAnsi="Times New Roman"/>
          <w:color w:val="000000" w:themeColor="text1"/>
        </w:rPr>
      </w:pPr>
    </w:p>
    <w:p w:rsidR="00497C87" w:rsidRPr="004B07D7" w:rsidRDefault="00497C87" w:rsidP="00497C87">
      <w:pPr>
        <w:numPr>
          <w:ilvl w:val="0"/>
          <w:numId w:val="6"/>
        </w:numPr>
        <w:tabs>
          <w:tab w:val="left" w:pos="297"/>
        </w:tabs>
        <w:spacing w:after="0" w:line="235" w:lineRule="auto"/>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Dokumentet, sipas pikës 1 të këtij neni, janë dokumentet e vetme që duhet të paraqesë aplikuesi për kryerejn e punimeve</w:t>
      </w:r>
    </w:p>
    <w:p w:rsidR="00497C87" w:rsidRPr="004B07D7" w:rsidRDefault="00497C87" w:rsidP="00497C87">
      <w:pPr>
        <w:tabs>
          <w:tab w:val="left" w:pos="297"/>
        </w:tabs>
        <w:spacing w:after="0" w:line="235" w:lineRule="auto"/>
        <w:rPr>
          <w:rFonts w:ascii="Times New Roman" w:eastAsia="Times New Roman" w:hAnsi="Times New Roman"/>
          <w:color w:val="000000" w:themeColor="text1"/>
          <w:sz w:val="24"/>
        </w:rPr>
      </w:pPr>
    </w:p>
    <w:p w:rsidR="00497C87" w:rsidRPr="004B07D7" w:rsidRDefault="00497C87" w:rsidP="00497C87">
      <w:pPr>
        <w:tabs>
          <w:tab w:val="left" w:pos="297"/>
        </w:tabs>
        <w:spacing w:after="0" w:line="235" w:lineRule="auto"/>
        <w:rPr>
          <w:rFonts w:ascii="Times New Roman" w:eastAsia="Times New Roman" w:hAnsi="Times New Roman"/>
          <w:color w:val="000000" w:themeColor="text1"/>
          <w:sz w:val="24"/>
        </w:rPr>
      </w:pPr>
    </w:p>
    <w:p w:rsidR="00497C87" w:rsidRPr="004B07D7" w:rsidRDefault="00497C87" w:rsidP="00497C87">
      <w:pPr>
        <w:numPr>
          <w:ilvl w:val="0"/>
          <w:numId w:val="7"/>
        </w:numPr>
        <w:tabs>
          <w:tab w:val="left" w:pos="276"/>
        </w:tabs>
        <w:spacing w:after="0" w:line="237" w:lineRule="auto"/>
        <w:jc w:val="both"/>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Në rastin kur punimet që kryhen me deklaratë paraprake për kryerje punimesh shtrihen në territorin e më shumë se një bashkie, aplikuesi do të paraqesë dokumentacionin përkatës pranë secilës bashki, për punimet që përfshihen brenda territorit administrativ të kompetencës.</w:t>
      </w:r>
    </w:p>
    <w:p w:rsidR="00497C87" w:rsidRPr="004B07D7" w:rsidRDefault="00497C87" w:rsidP="00497C87">
      <w:pPr>
        <w:spacing w:line="210" w:lineRule="exact"/>
        <w:rPr>
          <w:rFonts w:ascii="Times New Roman" w:eastAsia="Times New Roman" w:hAnsi="Times New Roman"/>
          <w:color w:val="000000" w:themeColor="text1"/>
          <w:sz w:val="24"/>
        </w:rPr>
      </w:pPr>
    </w:p>
    <w:p w:rsidR="00497C87" w:rsidRPr="004B07D7" w:rsidRDefault="00497C87" w:rsidP="00497C87">
      <w:pPr>
        <w:numPr>
          <w:ilvl w:val="0"/>
          <w:numId w:val="7"/>
        </w:numPr>
        <w:tabs>
          <w:tab w:val="left" w:pos="271"/>
        </w:tabs>
        <w:spacing w:after="0" w:line="237" w:lineRule="auto"/>
        <w:jc w:val="both"/>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Brenda 5 ditëve pune nga dorëzimi i deklaratës paraprake për kryerje punimesh, nëpërmjet sistemit elektronik të lejeve, autoriteti vendor përgjegjës kryen verifikimet e nevojshme dhe, në rast se konstaton mosrespektimin e kushteve dhe kërkesave ligjore që rregullojnë deklaratën paraprake të punimeve, e kundërshton atë me vendim të arsyetuar.</w:t>
      </w:r>
    </w:p>
    <w:p w:rsidR="00497C87" w:rsidRPr="004B07D7" w:rsidRDefault="00497C87" w:rsidP="00497C87">
      <w:pPr>
        <w:spacing w:line="215" w:lineRule="exact"/>
        <w:rPr>
          <w:rFonts w:ascii="Times New Roman" w:eastAsia="Times New Roman" w:hAnsi="Times New Roman"/>
          <w:color w:val="000000" w:themeColor="text1"/>
          <w:sz w:val="24"/>
        </w:rPr>
      </w:pPr>
    </w:p>
    <w:p w:rsidR="00497C87" w:rsidRPr="004B07D7" w:rsidRDefault="00497C87" w:rsidP="00497C87">
      <w:pPr>
        <w:numPr>
          <w:ilvl w:val="0"/>
          <w:numId w:val="7"/>
        </w:numPr>
        <w:tabs>
          <w:tab w:val="left" w:pos="247"/>
        </w:tabs>
        <w:spacing w:after="0" w:line="237" w:lineRule="auto"/>
        <w:jc w:val="both"/>
        <w:rPr>
          <w:rFonts w:ascii="Times New Roman" w:eastAsia="Times New Roman" w:hAnsi="Times New Roman"/>
          <w:color w:val="000000" w:themeColor="text1"/>
          <w:sz w:val="24"/>
        </w:rPr>
      </w:pPr>
      <w:r w:rsidRPr="004B07D7">
        <w:rPr>
          <w:rFonts w:ascii="Times New Roman" w:eastAsia="Times New Roman" w:hAnsi="Times New Roman"/>
          <w:color w:val="000000" w:themeColor="text1"/>
          <w:sz w:val="24"/>
        </w:rPr>
        <w:t>Në mungesë përgjigjeje nga autoriteti vendor përgjegjës, brenda afatit 5-ditor, sipas pikës 3 të këtij neni, konfirmimi konsiderohet i dhënë në heshtje dhe sistemi gjeneron aktin përkatës e njofton deklaruesin për mundësinë e fillimit të punimeve.”</w:t>
      </w:r>
    </w:p>
    <w:p w:rsidR="00497C87" w:rsidRPr="004B07D7" w:rsidRDefault="00497C87" w:rsidP="00497C87">
      <w:pPr>
        <w:tabs>
          <w:tab w:val="left" w:pos="720"/>
        </w:tabs>
        <w:spacing w:after="0" w:line="234" w:lineRule="auto"/>
        <w:ind w:left="720"/>
        <w:jc w:val="both"/>
        <w:rPr>
          <w:rFonts w:ascii="Symbol" w:eastAsia="Symbol" w:hAnsi="Symbol"/>
          <w:color w:val="000000" w:themeColor="text1"/>
          <w:sz w:val="24"/>
        </w:rPr>
      </w:pPr>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tabs>
          <w:tab w:val="left" w:pos="297"/>
        </w:tabs>
        <w:spacing w:after="0" w:line="235" w:lineRule="auto"/>
        <w:rPr>
          <w:rFonts w:ascii="Times New Roman" w:eastAsia="Times New Roman" w:hAnsi="Times New Roman"/>
          <w:color w:val="000000" w:themeColor="text1"/>
          <w:sz w:val="24"/>
        </w:rPr>
        <w:sectPr w:rsidR="00497C87" w:rsidRPr="004B07D7">
          <w:pgSz w:w="12240" w:h="15840"/>
          <w:pgMar w:top="1101" w:right="1440" w:bottom="190" w:left="1440" w:header="0" w:footer="0" w:gutter="0"/>
          <w:cols w:space="0" w:equalWidth="0">
            <w:col w:w="9360"/>
          </w:cols>
          <w:docGrid w:linePitch="360"/>
        </w:sectPr>
      </w:pPr>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spacing w:line="200" w:lineRule="exact"/>
        <w:rPr>
          <w:rFonts w:ascii="Times New Roman" w:eastAsia="Times New Roman" w:hAnsi="Times New Roman"/>
          <w:color w:val="000000" w:themeColor="text1"/>
        </w:rPr>
      </w:pPr>
      <w:bookmarkStart w:id="1" w:name="page12"/>
      <w:bookmarkEnd w:id="1"/>
    </w:p>
    <w:p w:rsidR="00497C87" w:rsidRPr="004B07D7" w:rsidRDefault="00497C87" w:rsidP="00497C87">
      <w:pPr>
        <w:spacing w:line="200" w:lineRule="exact"/>
        <w:rPr>
          <w:rFonts w:ascii="Times New Roman" w:eastAsia="Times New Roman" w:hAnsi="Times New Roman"/>
          <w:color w:val="000000" w:themeColor="text1"/>
        </w:rPr>
      </w:pPr>
    </w:p>
    <w:p w:rsidR="00497C87" w:rsidRPr="004B07D7" w:rsidRDefault="00497C87" w:rsidP="00497C87">
      <w:pPr>
        <w:tabs>
          <w:tab w:val="left" w:pos="720"/>
        </w:tabs>
        <w:spacing w:line="0" w:lineRule="atLeast"/>
        <w:rPr>
          <w:rFonts w:ascii="Symbol" w:eastAsia="Symbol" w:hAnsi="Symbol"/>
          <w:color w:val="000000" w:themeColor="text1"/>
          <w:sz w:val="24"/>
        </w:rPr>
        <w:sectPr w:rsidR="00497C87" w:rsidRPr="004B07D7">
          <w:pgSz w:w="12240" w:h="15840"/>
          <w:pgMar w:top="1071" w:right="1440" w:bottom="190" w:left="1440" w:header="0" w:footer="0" w:gutter="0"/>
          <w:cols w:space="0" w:equalWidth="0">
            <w:col w:w="9360"/>
          </w:cols>
          <w:docGrid w:linePitch="360"/>
        </w:sectPr>
      </w:pPr>
    </w:p>
    <w:p w:rsidR="00497C87" w:rsidRPr="004B07D7" w:rsidRDefault="00497C87" w:rsidP="00497C87">
      <w:pPr>
        <w:spacing w:line="0" w:lineRule="atLeast"/>
        <w:rPr>
          <w:rFonts w:ascii="Book Antiqua" w:eastAsia="Book Antiqua" w:hAnsi="Book Antiqua"/>
          <w:color w:val="000000" w:themeColor="text1"/>
          <w:sz w:val="24"/>
        </w:rPr>
        <w:sectPr w:rsidR="00497C87" w:rsidRPr="004B07D7">
          <w:type w:val="continuous"/>
          <w:pgSz w:w="12240" w:h="15840"/>
          <w:pgMar w:top="1071" w:right="1440" w:bottom="190" w:left="1440" w:header="0" w:footer="0" w:gutter="0"/>
          <w:cols w:space="0" w:equalWidth="0">
            <w:col w:w="9360"/>
          </w:cols>
          <w:docGrid w:linePitch="360"/>
        </w:sectPr>
      </w:pPr>
    </w:p>
    <w:p w:rsidR="00497C87" w:rsidRDefault="00497C87" w:rsidP="00497C87">
      <w:pPr>
        <w:numPr>
          <w:ilvl w:val="1"/>
          <w:numId w:val="2"/>
        </w:numPr>
        <w:tabs>
          <w:tab w:val="left" w:pos="720"/>
        </w:tabs>
        <w:spacing w:after="0" w:line="0" w:lineRule="atLeast"/>
        <w:ind w:left="720" w:hanging="360"/>
        <w:rPr>
          <w:rFonts w:ascii="Symbol" w:eastAsia="Symbol" w:hAnsi="Symbol"/>
          <w:color w:val="00B0F0"/>
          <w:sz w:val="24"/>
        </w:rPr>
      </w:pPr>
      <w:bookmarkStart w:id="2" w:name="page10"/>
      <w:bookmarkEnd w:id="2"/>
      <w:r>
        <w:rPr>
          <w:rFonts w:ascii="Times New Roman" w:eastAsia="Times New Roman" w:hAnsi="Times New Roman"/>
          <w:color w:val="00B0F0"/>
          <w:sz w:val="24"/>
        </w:rPr>
        <w:lastRenderedPageBreak/>
        <w:t>hapja dhe mbyllja e dyerve të brendshme;</w:t>
      </w:r>
    </w:p>
    <w:p w:rsidR="00497C87" w:rsidRDefault="00497C87" w:rsidP="00497C87">
      <w:pPr>
        <w:spacing w:line="231" w:lineRule="exact"/>
        <w:rPr>
          <w:rFonts w:ascii="Symbol" w:eastAsia="Symbol" w:hAnsi="Symbol"/>
          <w:color w:val="00B0F0"/>
          <w:sz w:val="24"/>
        </w:rPr>
      </w:pPr>
    </w:p>
    <w:p w:rsidR="00497C87" w:rsidRDefault="00497C87" w:rsidP="00497C87">
      <w:pPr>
        <w:numPr>
          <w:ilvl w:val="1"/>
          <w:numId w:val="2"/>
        </w:numPr>
        <w:tabs>
          <w:tab w:val="left" w:pos="720"/>
        </w:tabs>
        <w:spacing w:after="0" w:line="227" w:lineRule="auto"/>
        <w:ind w:left="720" w:hanging="360"/>
        <w:rPr>
          <w:rFonts w:ascii="Symbol" w:eastAsia="Symbol" w:hAnsi="Symbol"/>
          <w:color w:val="00B0F0"/>
          <w:sz w:val="24"/>
        </w:rPr>
      </w:pPr>
      <w:r>
        <w:rPr>
          <w:rFonts w:ascii="Times New Roman" w:eastAsia="Times New Roman" w:hAnsi="Times New Roman"/>
          <w:color w:val="00B0F0"/>
          <w:sz w:val="24"/>
        </w:rPr>
        <w:t>krijimi, eliminimi ose ndryshimi i mureve ndarës (jombajtës) të brendshëm, i mjediseve për shërbime higjienike;</w:t>
      </w:r>
    </w:p>
    <w:p w:rsidR="00497C87" w:rsidRDefault="00497C87" w:rsidP="00497C87">
      <w:pPr>
        <w:spacing w:line="198" w:lineRule="exact"/>
        <w:rPr>
          <w:rFonts w:ascii="Symbol" w:eastAsia="Symbol" w:hAnsi="Symbol"/>
          <w:color w:val="00B0F0"/>
          <w:sz w:val="24"/>
        </w:rPr>
      </w:pPr>
    </w:p>
    <w:p w:rsidR="00497C87" w:rsidRDefault="00497C87" w:rsidP="00497C87">
      <w:pPr>
        <w:numPr>
          <w:ilvl w:val="1"/>
          <w:numId w:val="2"/>
        </w:numPr>
        <w:tabs>
          <w:tab w:val="left" w:pos="720"/>
        </w:tabs>
        <w:spacing w:after="0" w:line="0" w:lineRule="atLeast"/>
        <w:ind w:left="720" w:hanging="360"/>
        <w:rPr>
          <w:rFonts w:ascii="Symbol" w:eastAsia="Symbol" w:hAnsi="Symbol"/>
          <w:color w:val="00B0F0"/>
          <w:sz w:val="24"/>
        </w:rPr>
      </w:pPr>
      <w:r>
        <w:rPr>
          <w:rFonts w:ascii="Times New Roman" w:eastAsia="Times New Roman" w:hAnsi="Times New Roman"/>
          <w:color w:val="00B0F0"/>
          <w:sz w:val="24"/>
        </w:rPr>
        <w:t>realizimi i impianteve të reja higjieno-sanitare dhe të ngrohjes/ftohjes;</w:t>
      </w:r>
    </w:p>
    <w:p w:rsidR="00497C87" w:rsidRPr="00497C87" w:rsidRDefault="00497C87" w:rsidP="00497C87">
      <w:pPr>
        <w:rPr>
          <w:rFonts w:ascii="Bookman Old Style" w:hAnsi="Bookman Old Style"/>
          <w:sz w:val="24"/>
          <w:szCs w:val="24"/>
        </w:rPr>
      </w:pPr>
    </w:p>
    <w:sectPr w:rsidR="00497C87" w:rsidRPr="00497C87" w:rsidSect="002F21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46B7D446"/>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4A2AC31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0CC1016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43F184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D"/>
    <w:multiLevelType w:val="hybridMultilevel"/>
    <w:tmpl w:val="60EF011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C87"/>
    <w:rsid w:val="00187B45"/>
    <w:rsid w:val="002F21D6"/>
    <w:rsid w:val="00497C87"/>
    <w:rsid w:val="004B07D7"/>
    <w:rsid w:val="00C15B7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2018-02-14T13:31:00Z</dcterms:created>
  <dcterms:modified xsi:type="dcterms:W3CDTF">2018-02-15T08:59:00Z</dcterms:modified>
</cp:coreProperties>
</file>